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Uitnodiging German Dutch Logistics Online Conference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Changing logistics for a better tomorrow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Beste &lt;naam&gt;,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 energietransitie heeft grote gevolgen voor de Nederlandse en Duitse logistiek. Meer en meer maatregelen worden concreet en voelbaar. Lading verandert en verdwijnt of wordt vervangen. En ook de manier waarop wordt vervoerd is aan het veranderen. Hoe u daar het beste op kunt anticiperen en wat we als Duitse en Nederlandse markt kunnen leren staat centraal tijdens deze online editie van </w:t>
      </w:r>
      <w:hyperlink r:id="rId6">
        <w:r w:rsidDel="00000000" w:rsidR="00000000" w:rsidRPr="00000000">
          <w:rPr>
            <w:color w:val="1155cc"/>
            <w:u w:val="single"/>
            <w:rtl w:val="0"/>
          </w:rPr>
          <w:t xml:space="preserve">German Dutch Logistics Conference</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Wat zijn de gevolgen van de Europese Green Deal voor de transportsector?</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Achterland transport: hoe gaan we om met laagwater?</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Welke rol kan waterstof spelen?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Kijkt u mee op 15 en 16 september 2020? </w:t>
      </w:r>
      <w:hyperlink r:id="rId7">
        <w:r w:rsidDel="00000000" w:rsidR="00000000" w:rsidRPr="00000000">
          <w:rPr>
            <w:color w:val="1155cc"/>
            <w:u w:val="single"/>
            <w:rtl w:val="0"/>
          </w:rPr>
          <w:t xml:space="preserve">Schrijf nu in!</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Met vriendelijke groet,</w:t>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vents.nieuwsbladtransport.nl/german-dutch-logistics-conference-2020/" TargetMode="External"/><Relationship Id="rId7" Type="http://schemas.openxmlformats.org/officeDocument/2006/relationships/hyperlink" Target="https://events.nieuwsbladtransport.nl/german-dutch-logistics-conference-2020/registr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